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0" w:rsidRPr="00B80E32" w:rsidRDefault="006D69C1" w:rsidP="00B84C60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00FF"/>
          <w:sz w:val="27"/>
          <w:szCs w:val="27"/>
          <w:lang w:val="es-ES"/>
        </w:rPr>
        <w:t>comer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eat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00FF"/>
          <w:sz w:val="27"/>
          <w:szCs w:val="27"/>
          <w:lang w:val="es-ES"/>
        </w:rPr>
        <w:t>conocer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know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(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be familiar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with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>)</w:t>
      </w:r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contar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count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00FF"/>
          <w:sz w:val="27"/>
          <w:szCs w:val="27"/>
          <w:lang w:val="es-ES"/>
        </w:rPr>
        <w:t>correr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run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empezar</w:t>
      </w:r>
      <w:r w:rsidRPr="00B80E32">
        <w:rPr>
          <w:rFonts w:ascii="Verdana" w:hAnsi="Verdana"/>
          <w:color w:val="FF0000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begin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,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start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entrar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enter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esperar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wait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,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wish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,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hope</w:t>
      </w:r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00FF"/>
          <w:sz w:val="27"/>
          <w:szCs w:val="27"/>
          <w:lang w:val="es-ES"/>
        </w:rPr>
        <w:t>hacer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do,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make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00FF"/>
          <w:sz w:val="27"/>
          <w:szCs w:val="27"/>
          <w:lang w:val="es-ES"/>
        </w:rPr>
        <w:t xml:space="preserve">leer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read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llevar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carry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,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wear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necesitar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need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pasar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pass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pasear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b/>
          <w:i/>
          <w:sz w:val="27"/>
          <w:szCs w:val="27"/>
          <w:lang w:val="es-ES"/>
        </w:rPr>
        <w:t>go</w:t>
      </w:r>
      <w:proofErr w:type="spellEnd"/>
      <w:r w:rsidR="00B84C60" w:rsidRPr="00B80E32">
        <w:rPr>
          <w:rFonts w:ascii="Verdana" w:hAnsi="Verdana"/>
          <w:b/>
          <w:i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b/>
          <w:i/>
          <w:sz w:val="27"/>
          <w:szCs w:val="27"/>
          <w:lang w:val="es-ES"/>
        </w:rPr>
        <w:t>on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a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walk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,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stroll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B050"/>
          <w:sz w:val="27"/>
          <w:szCs w:val="27"/>
          <w:lang w:val="es-ES"/>
        </w:rPr>
        <w:t>recibir</w:t>
      </w:r>
      <w:r w:rsidRPr="00B80E32">
        <w:rPr>
          <w:rFonts w:ascii="Verdana" w:hAnsi="Verdana"/>
          <w:color w:val="00B050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receive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regresar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return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B050"/>
          <w:sz w:val="27"/>
          <w:szCs w:val="27"/>
          <w:lang w:val="es-ES"/>
        </w:rPr>
        <w:t>repetir</w:t>
      </w:r>
      <w:r w:rsidRPr="00B80E32">
        <w:rPr>
          <w:rFonts w:ascii="Verdana" w:hAnsi="Verdana"/>
          <w:color w:val="00B050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repeat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00FF"/>
          <w:sz w:val="27"/>
          <w:szCs w:val="27"/>
          <w:lang w:val="es-ES"/>
        </w:rPr>
        <w:t>tener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have</w:t>
      </w:r>
      <w:proofErr w:type="spellEnd"/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FF0000"/>
          <w:sz w:val="27"/>
          <w:szCs w:val="27"/>
          <w:lang w:val="es-ES"/>
        </w:rPr>
        <w:t>usar</w:t>
      </w:r>
      <w:r w:rsidRPr="00B80E32">
        <w:rPr>
          <w:rFonts w:ascii="Verdana" w:hAnsi="Verdana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use</w:t>
      </w:r>
    </w:p>
    <w:p w:rsidR="006D69C1" w:rsidRPr="00B80E32" w:rsidRDefault="006D69C1" w:rsidP="006D69C1">
      <w:pPr>
        <w:pStyle w:val="ListParagraph"/>
        <w:numPr>
          <w:ilvl w:val="0"/>
          <w:numId w:val="2"/>
        </w:numPr>
        <w:ind w:left="810" w:hanging="450"/>
        <w:rPr>
          <w:rFonts w:ascii="Verdana" w:hAnsi="Verdana"/>
          <w:sz w:val="27"/>
          <w:szCs w:val="27"/>
          <w:lang w:val="es-ES"/>
        </w:rPr>
      </w:pPr>
      <w:r w:rsidRPr="00B80E32">
        <w:rPr>
          <w:rFonts w:ascii="Verdana" w:hAnsi="Verdana"/>
          <w:b/>
          <w:color w:val="00B050"/>
          <w:sz w:val="27"/>
          <w:szCs w:val="27"/>
          <w:lang w:val="es-ES"/>
        </w:rPr>
        <w:t>venir</w:t>
      </w:r>
      <w:r w:rsidRPr="00B80E32">
        <w:rPr>
          <w:rFonts w:ascii="Verdana" w:hAnsi="Verdana"/>
          <w:color w:val="00B050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come</w:t>
      </w:r>
    </w:p>
    <w:p w:rsidR="00AC452D" w:rsidRPr="00B80E32" w:rsidRDefault="006D69C1" w:rsidP="006D69C1">
      <w:pPr>
        <w:pStyle w:val="ListParagraph"/>
        <w:numPr>
          <w:ilvl w:val="0"/>
          <w:numId w:val="2"/>
        </w:numPr>
        <w:ind w:left="810" w:hanging="450"/>
      </w:pPr>
      <w:r w:rsidRPr="00B80E32">
        <w:rPr>
          <w:rFonts w:ascii="Verdana" w:hAnsi="Verdana"/>
          <w:b/>
          <w:color w:val="00B050"/>
          <w:sz w:val="27"/>
          <w:szCs w:val="27"/>
          <w:lang w:val="es-ES"/>
        </w:rPr>
        <w:t>vivir</w:t>
      </w:r>
      <w:r w:rsidR="00B84C60" w:rsidRPr="00B80E32">
        <w:rPr>
          <w:rFonts w:ascii="Verdana" w:hAnsi="Verdana"/>
          <w:color w:val="00B050"/>
          <w:sz w:val="27"/>
          <w:szCs w:val="27"/>
          <w:lang w:val="es-ES"/>
        </w:rPr>
        <w:t xml:space="preserve"> </w:t>
      </w:r>
      <w:r w:rsidR="00B84C60" w:rsidRPr="00B80E32">
        <w:rPr>
          <w:rFonts w:ascii="Verdana" w:hAnsi="Verdana"/>
          <w:sz w:val="27"/>
          <w:szCs w:val="27"/>
          <w:lang w:val="es-ES"/>
        </w:rPr>
        <w:t xml:space="preserve">–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to</w:t>
      </w:r>
      <w:proofErr w:type="spellEnd"/>
      <w:r w:rsidR="00B84C60" w:rsidRPr="00B80E32">
        <w:rPr>
          <w:rFonts w:ascii="Verdana" w:hAnsi="Verdana"/>
          <w:sz w:val="27"/>
          <w:szCs w:val="27"/>
          <w:lang w:val="es-ES"/>
        </w:rPr>
        <w:t xml:space="preserve"> </w:t>
      </w:r>
      <w:proofErr w:type="spellStart"/>
      <w:r w:rsidR="00B84C60" w:rsidRPr="00B80E32">
        <w:rPr>
          <w:rFonts w:ascii="Verdana" w:hAnsi="Verdana"/>
          <w:sz w:val="27"/>
          <w:szCs w:val="27"/>
          <w:lang w:val="es-ES"/>
        </w:rPr>
        <w:t>live</w:t>
      </w:r>
      <w:bookmarkStart w:id="0" w:name="_GoBack"/>
      <w:bookmarkEnd w:id="0"/>
      <w:proofErr w:type="spellEnd"/>
    </w:p>
    <w:sectPr w:rsidR="00AC452D" w:rsidRPr="00B8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E72"/>
    <w:multiLevelType w:val="hybridMultilevel"/>
    <w:tmpl w:val="12D84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1A95"/>
    <w:multiLevelType w:val="hybridMultilevel"/>
    <w:tmpl w:val="0AF0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FB"/>
    <w:rsid w:val="006D69C1"/>
    <w:rsid w:val="00743CA3"/>
    <w:rsid w:val="00AC452D"/>
    <w:rsid w:val="00B80E32"/>
    <w:rsid w:val="00B84C60"/>
    <w:rsid w:val="00B911B4"/>
    <w:rsid w:val="00E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Garnet</dc:creator>
  <cp:lastModifiedBy>Adam Garnet</cp:lastModifiedBy>
  <cp:revision>4</cp:revision>
  <cp:lastPrinted>2013-11-18T16:00:00Z</cp:lastPrinted>
  <dcterms:created xsi:type="dcterms:W3CDTF">2013-11-18T16:02:00Z</dcterms:created>
  <dcterms:modified xsi:type="dcterms:W3CDTF">2013-11-18T21:52:00Z</dcterms:modified>
</cp:coreProperties>
</file>